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真题卷第3套(2018-12)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近年来，中国政府进一步加大体育馆建设投资，以更好地满足人们快速增长的健身需求。除了新建体育馆外，许多城市换采取了改造旧工厂和商业建筑等措施，来增加当地体育馆的数量。在政府资金的支持下，越来越多的体育馆向公众免费开放，或者只收取少量费用。许多体育馆通过应用现代信息技术大大提高了服务质量。人民可以方便地在线预订场地和付费。可以预见，随着运动设施的不断改善，愈来愈多的人将会去体育馆健身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https://english-exam.lazynote.cn/cet6/paper/2018-12-3/part-iv/?f=w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英语六级2018年12月第3套汉译英（段落翻译）真题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来源：https://english-exam.lazynote.cn/cet6/paper/2018-12-3/part-iv/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